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76"/>
        <w:ind w:firstLine="700"/>
        <w:jc w:val="both"/>
        <w:rPr>
          <w:b/>
          <w:bCs/>
        </w:rPr>
      </w:pPr>
      <w:r>
        <w:rPr>
          <w:b/>
          <w:bCs/>
        </w:rPr>
        <w:t>Актуализация механизма страхования военных рисков</w:t>
      </w:r>
    </w:p>
    <w:p>
      <w:pPr>
        <w:pStyle w:val="1"/>
        <w:spacing w:lineRule="auto" w:line="276"/>
        <w:ind w:firstLine="700"/>
        <w:jc w:val="both"/>
        <w:rPr>
          <w:b/>
          <w:bCs/>
        </w:rPr>
      </w:pPr>
      <w:r>
        <w:rPr/>
      </w:r>
    </w:p>
    <w:p>
      <w:pPr>
        <w:pStyle w:val="1"/>
        <w:spacing w:lineRule="auto" w:line="276"/>
        <w:ind w:firstLine="700"/>
        <w:jc w:val="both"/>
        <w:rPr>
          <w:b/>
          <w:bCs/>
        </w:rPr>
      </w:pPr>
      <w:r>
        <w:rPr>
          <w:b/>
          <w:bCs/>
        </w:rPr>
        <w:t>По информации Минфина России ра</w:t>
      </w:r>
      <w:r>
        <w:rPr>
          <w:b/>
          <w:bCs/>
        </w:rPr>
        <w:t>сширен перечень социально значимых продовольственных и непродовольственных товаров первой необходимости</w:t>
      </w:r>
      <w:r>
        <w:rPr>
          <w:b/>
          <w:bCs/>
        </w:rPr>
        <w:t>*</w:t>
      </w:r>
      <w:r>
        <w:rPr>
          <w:b/>
          <w:bCs/>
        </w:rPr>
        <w:t xml:space="preserve"> на следующие позиции:</w:t>
      </w:r>
    </w:p>
    <w:p>
      <w:pPr>
        <w:pStyle w:val="1"/>
        <w:spacing w:lineRule="auto" w:line="276"/>
        <w:ind w:firstLine="700"/>
        <w:jc w:val="both"/>
        <w:rPr>
          <w:b/>
          <w:bCs/>
        </w:rPr>
      </w:pPr>
      <w:r>
        <w:rPr>
          <w:b/>
          <w:bCs/>
        </w:rPr>
        <w:t>- Бензин автомобильный;</w:t>
      </w:r>
    </w:p>
    <w:p>
      <w:pPr>
        <w:pStyle w:val="1"/>
        <w:spacing w:lineRule="auto" w:line="276"/>
        <w:ind w:firstLine="700"/>
        <w:jc w:val="both"/>
        <w:rPr>
          <w:b/>
          <w:bCs/>
        </w:rPr>
      </w:pPr>
      <w:r>
        <w:rPr>
          <w:b/>
          <w:bCs/>
        </w:rPr>
        <w:t>- Дизельное топливо;</w:t>
      </w:r>
    </w:p>
    <w:p>
      <w:pPr>
        <w:pStyle w:val="1"/>
        <w:spacing w:lineRule="auto" w:line="276"/>
        <w:ind w:firstLine="700"/>
        <w:jc w:val="both"/>
        <w:rPr>
          <w:b/>
          <w:bCs/>
        </w:rPr>
      </w:pPr>
      <w:r>
        <w:rPr>
          <w:b/>
          <w:bCs/>
        </w:rPr>
        <w:t>- Газомоторное топливо (компримированный природный газ, сжиженный</w:t>
      </w:r>
    </w:p>
    <w:p>
      <w:pPr>
        <w:pStyle w:val="1"/>
        <w:spacing w:lineRule="auto" w:line="276"/>
        <w:ind w:firstLine="700"/>
        <w:jc w:val="both"/>
        <w:rPr>
          <w:b/>
          <w:bCs/>
        </w:rPr>
      </w:pPr>
      <w:r>
        <w:rPr>
          <w:b/>
          <w:bCs/>
        </w:rPr>
        <w:t>природный газ, сжиженный углеводородный газ).</w:t>
      </w:r>
    </w:p>
    <w:p>
      <w:pPr>
        <w:pStyle w:val="1"/>
        <w:spacing w:lineRule="auto" w:line="276"/>
        <w:ind w:firstLine="700"/>
        <w:jc w:val="both"/>
        <w:rPr/>
      </w:pPr>
      <w:r>
        <w:rPr/>
      </w:r>
    </w:p>
    <w:p>
      <w:pPr>
        <w:pStyle w:val="1"/>
        <w:spacing w:lineRule="auto" w:line="276"/>
        <w:ind w:firstLine="700"/>
        <w:jc w:val="both"/>
        <w:rPr/>
      </w:pPr>
      <w:r>
        <w:rPr/>
        <w:t xml:space="preserve">В соответствии с указанным механизмом военные риски могут </w:t>
      </w:r>
      <w:r>
        <w:rPr>
          <w:b/>
          <w:bCs/>
        </w:rPr>
        <w:t>быть без увеличения страховой премии</w:t>
      </w:r>
      <w:r>
        <w:rPr/>
        <w:t xml:space="preserve"> включены в договоры страхования;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03" w:leader="none"/>
        </w:tabs>
        <w:spacing w:lineRule="auto" w:line="276"/>
        <w:ind w:firstLine="700"/>
        <w:jc w:val="both"/>
        <w:rPr/>
      </w:pPr>
      <w:bookmarkStart w:id="0" w:name="bookmark0"/>
      <w:bookmarkEnd w:id="0"/>
      <w:r>
        <w:rPr/>
        <w:t>автотранспортных средств «АВТОКАСКО», осуществляющих грузоперевозки, в том числе транзитом, товаров первой необходимости по территориям новых субъектов Российской Федерации;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898" w:leader="none"/>
        </w:tabs>
        <w:spacing w:lineRule="auto" w:line="276"/>
        <w:ind w:firstLine="700"/>
        <w:jc w:val="both"/>
        <w:rPr/>
      </w:pPr>
      <w:bookmarkStart w:id="1" w:name="bookmark1"/>
      <w:bookmarkEnd w:id="1"/>
      <w:r>
        <w:rPr/>
        <w:t>грузов, являющихся товарами первой необходимости, перевозимых автотранспортными средствами, в том числе транзитом, по территориям новых субъектов Российской Федерации;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03" w:leader="none"/>
        </w:tabs>
        <w:spacing w:lineRule="auto" w:line="276"/>
        <w:ind w:firstLine="700"/>
        <w:jc w:val="both"/>
        <w:rPr/>
      </w:pPr>
      <w:bookmarkStart w:id="2" w:name="bookmark2"/>
      <w:bookmarkEnd w:id="2"/>
      <w:r>
        <w:rPr/>
        <w:t>средств подвижного железнодорожного состава, предназначенных для перевозки, грузов, эксплуатируемый на путях общего и необщего пользования, находящихся на территориях новых субъектов Российской Федерации (вне зависимости от факта перевозки груза и вида перевозимого груза).</w:t>
      </w:r>
    </w:p>
    <w:p>
      <w:pPr>
        <w:pStyle w:val="1"/>
        <w:spacing w:lineRule="auto" w:line="276"/>
        <w:ind w:firstLine="700"/>
        <w:jc w:val="both"/>
        <w:rPr/>
      </w:pPr>
      <w:r>
        <w:rPr/>
        <w:t xml:space="preserve">В периметр механизма </w:t>
      </w:r>
      <w:r>
        <w:rPr>
          <w:b/>
          <w:bCs/>
        </w:rPr>
        <w:t>включены страховые случаи</w:t>
      </w:r>
      <w:r>
        <w:rPr/>
        <w:t>, произошедшие при обратном следовании в течение 3-х дней после доставки груза (включая день доставки).</w:t>
      </w:r>
    </w:p>
    <w:p>
      <w:pPr>
        <w:pStyle w:val="1"/>
        <w:spacing w:lineRule="auto" w:line="276"/>
        <w:ind w:firstLine="700"/>
        <w:jc w:val="both"/>
        <w:rPr/>
      </w:pPr>
      <w:r>
        <w:rPr/>
        <w:t xml:space="preserve">Также </w:t>
      </w:r>
      <w:r>
        <w:rPr>
          <w:b/>
          <w:bCs/>
        </w:rPr>
        <w:t>упрощены процедуры принятия страховых рисков</w:t>
      </w:r>
      <w:r>
        <w:rPr/>
        <w:t xml:space="preserve"> страховщиками.</w:t>
      </w:r>
    </w:p>
    <w:p>
      <w:pPr>
        <w:pStyle w:val="1"/>
        <w:spacing w:lineRule="auto" w:line="276"/>
        <w:ind w:firstLine="700"/>
        <w:jc w:val="both"/>
        <w:rPr/>
      </w:pPr>
      <w:r>
        <w:rPr/>
        <w:t>В случае реализации военного риска на территории новых субъектов Российской Федерации страховщиком проводятся все необходимые для урегулирования страхового случая процедуры и осуществляется страховая выплата выгодоприобретателю. Впоследствии страховая выплата в полном объеме компенсируется страховщику акционерным обществом «Российская Национальная Перестраховочная Компания» (далее — АО РНПК) представленных страховщиком документов.</w:t>
      </w:r>
    </w:p>
    <w:p>
      <w:pPr>
        <w:pStyle w:val="1"/>
        <w:spacing w:lineRule="auto" w:line="276"/>
        <w:ind w:firstLine="700"/>
        <w:jc w:val="both"/>
        <w:rPr>
          <w:color w:val="000000"/>
        </w:rPr>
      </w:pPr>
      <w:r>
        <w:rPr>
          <w:color w:val="000000"/>
        </w:rPr>
        <w:t xml:space="preserve">Механизм страхования военных рисков позволяет </w:t>
      </w:r>
      <w:r>
        <w:rPr>
          <w:b/>
          <w:bCs/>
          <w:color w:val="000000"/>
        </w:rPr>
        <w:t>оказывать адресную поддержку</w:t>
      </w:r>
      <w:r>
        <w:rPr>
          <w:color w:val="000000"/>
        </w:rPr>
        <w:t xml:space="preserve"> субъектам экономической деятельности в случае причинения ущерба их имуществу вследствие наступления военных рисков. При этом для организации возмещения ущерба используется инфраструктура и компетенции профессионального страхового сообщества.</w:t>
      </w:r>
    </w:p>
    <w:p>
      <w:pPr>
        <w:pStyle w:val="1"/>
        <w:spacing w:lineRule="auto" w:line="276"/>
        <w:ind w:firstLine="700"/>
        <w:jc w:val="both"/>
        <w:rPr/>
      </w:pPr>
      <w:r>
        <w:rPr>
          <w:color w:val="000000"/>
          <w:u w:val="single"/>
        </w:rPr>
        <w:t xml:space="preserve">Обращаем внимание, что </w:t>
      </w:r>
      <w:r>
        <w:rPr>
          <w:b/>
          <w:bCs/>
          <w:color w:val="000000"/>
        </w:rPr>
        <w:t>к реализации механизма страхования военных рисков допускаются только те страховщики, которые заключили с АО РНПК соглашение по согласованной с Минфином России типовой форме</w:t>
      </w:r>
      <w:r>
        <w:rPr>
          <w:color w:val="000000"/>
        </w:rPr>
        <w:t>. (приложение)</w:t>
      </w:r>
    </w:p>
    <w:p>
      <w:pPr>
        <w:pStyle w:val="1"/>
        <w:spacing w:lineRule="auto" w:line="276"/>
        <w:ind w:firstLine="700"/>
        <w:jc w:val="both"/>
        <w:rPr>
          <w:color w:val="000000"/>
        </w:rPr>
      </w:pPr>
      <w:r>
        <w:rPr>
          <w:color w:val="000000"/>
        </w:rPr>
      </w:r>
    </w:p>
    <w:p>
      <w:pPr>
        <w:pStyle w:val="1"/>
        <w:spacing w:lineRule="auto" w:line="276"/>
        <w:ind w:firstLine="700"/>
        <w:jc w:val="both"/>
        <w:rPr/>
      </w:pPr>
      <w:r>
        <w:rPr>
          <w:b/>
          <w:bCs/>
          <w:color w:val="000000"/>
        </w:rPr>
        <w:t>Для заинтересованных субъектов экономической деятельности</w:t>
      </w:r>
      <w:r>
        <w:rPr>
          <w:color w:val="000000"/>
        </w:rPr>
        <w:t>, осуществляющих на территориях новых субъектов Российской Федерации перевозки, в том числе транзитом, товаров первой необходимости автомобильным транспортом, а также железнодорожные перевозки грузов, с предложением обратиться к страховым организациям, с которыми у них заключены договоры страхования (грузов, автотранспорта, средств подвижного железнодорожного состава), для включения военных рисков в покрытие действующих договоров страхования или к иным страховым организациям, заключившим соглашения с АО РНПК, для заключения таких договоров страхования.</w:t>
      </w:r>
    </w:p>
    <w:p>
      <w:pPr>
        <w:pStyle w:val="1"/>
        <w:spacing w:lineRule="auto" w:line="240" w:before="0" w:after="320"/>
        <w:ind w:hanging="0"/>
        <w:jc w:val="center"/>
        <w:rPr>
          <w:b/>
          <w:bCs/>
          <w:color w:val="1E1E22"/>
        </w:rPr>
      </w:pPr>
      <w:r>
        <w:rPr>
          <w:b/>
          <w:bCs/>
          <w:color w:val="1E1E22"/>
        </w:rPr>
      </w:r>
    </w:p>
    <w:p>
      <w:pPr>
        <w:pStyle w:val="1"/>
        <w:spacing w:lineRule="auto" w:line="240" w:before="0" w:after="320"/>
        <w:ind w:hanging="0"/>
        <w:jc w:val="center"/>
        <w:rPr/>
      </w:pPr>
      <w:r>
        <w:rPr>
          <w:b/>
          <w:bCs/>
          <w:color w:val="1E1E22"/>
        </w:rPr>
        <w:t>Основные условия возмещения ущерба от военных рисков</w:t>
      </w:r>
    </w:p>
    <w:p>
      <w:pPr>
        <w:pStyle w:val="1"/>
        <w:spacing w:lineRule="auto" w:line="259" w:before="0" w:after="320"/>
        <w:ind w:firstLine="720"/>
        <w:jc w:val="both"/>
        <w:rPr/>
      </w:pPr>
      <w:r>
        <w:rPr/>
        <w:t>Возмещение ущерба, причиненного вследствие наступления военных рисков</w:t>
      </w:r>
      <w:r>
        <w:rPr>
          <w:rStyle w:val="Style19"/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/>
        <w:t>с использованием механизма страхования, производится страховыми организациями при соблюдении следующих условий: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694" w:leader="none"/>
        </w:tabs>
        <w:spacing w:lineRule="auto" w:line="261" w:before="0" w:after="320"/>
        <w:ind w:hanging="0"/>
        <w:jc w:val="both"/>
        <w:rPr/>
      </w:pPr>
      <w:bookmarkStart w:id="3" w:name="bookmark3"/>
      <w:bookmarkEnd w:id="3"/>
      <w:r>
        <w:rPr>
          <w:u w:val="single"/>
        </w:rPr>
        <w:t>Возмещению подлежит ущерб, причиненный следующему имуществу:</w:t>
      </w:r>
    </w:p>
    <w:p>
      <w:pPr>
        <w:pStyle w:val="1"/>
        <w:tabs>
          <w:tab w:val="clear" w:pos="708"/>
          <w:tab w:val="left" w:pos="760" w:leader="none"/>
        </w:tabs>
        <w:spacing w:lineRule="auto" w:line="261"/>
        <w:ind w:left="540" w:hanging="120"/>
        <w:jc w:val="both"/>
        <w:rPr/>
      </w:pPr>
      <w:bookmarkStart w:id="4" w:name="bookmark4"/>
      <w:r>
        <w:rPr/>
        <w:t>а</w:t>
      </w:r>
      <w:bookmarkEnd w:id="4"/>
      <w:r>
        <w:rPr/>
        <w:t>)</w:t>
        <w:tab/>
        <w:t xml:space="preserve">автотранспортные средства, осуществляющие перевозку груза, </w:t>
      </w:r>
      <w:r>
        <w:rPr>
          <w:b/>
          <w:bCs/>
        </w:rPr>
        <w:t>в том числе транзитом</w:t>
      </w:r>
      <w:r>
        <w:rPr/>
        <w:t>, по территории новых субъектов Российской Федерации</w:t>
      </w:r>
      <w:r>
        <w:rPr>
          <w:rStyle w:val="Style19"/>
          <w:vertAlign w:val="superscript"/>
        </w:rPr>
        <w:footnoteReference w:id="3"/>
      </w:r>
      <w:r>
        <w:rPr/>
        <w:t xml:space="preserve">, в составе которого </w:t>
      </w:r>
      <w:r>
        <w:rPr>
          <w:b/>
          <w:bCs/>
        </w:rPr>
        <w:t>25 и более процентов стоимости</w:t>
      </w:r>
      <w:r>
        <w:rPr/>
        <w:t xml:space="preserve"> приходится на ТПН</w:t>
      </w:r>
      <w:r>
        <w:rPr>
          <w:rStyle w:val="Style19"/>
          <w:vertAlign w:val="superscript"/>
        </w:rPr>
        <w:footnoteReference w:id="4"/>
      </w:r>
      <w:r>
        <w:rPr/>
        <w:t xml:space="preserve">, а также находящиеся на территории новых субъектов Российской Федерации в течение 3-х календарных дней </w:t>
      </w:r>
      <w:r>
        <w:rPr>
          <w:b/>
          <w:bCs/>
        </w:rPr>
        <w:t>после доставки такого груза</w:t>
      </w:r>
      <w:r>
        <w:rPr/>
        <w:t xml:space="preserve"> (включая день доставки);</w:t>
      </w:r>
    </w:p>
    <w:p>
      <w:pPr>
        <w:pStyle w:val="1"/>
        <w:tabs>
          <w:tab w:val="clear" w:pos="708"/>
          <w:tab w:val="left" w:pos="779" w:leader="none"/>
        </w:tabs>
        <w:spacing w:lineRule="auto" w:line="261"/>
        <w:ind w:left="540" w:hanging="120"/>
        <w:jc w:val="both"/>
        <w:rPr/>
      </w:pPr>
      <w:bookmarkStart w:id="5" w:name="bookmark5"/>
      <w:r>
        <w:rPr/>
        <w:t>б</w:t>
      </w:r>
      <w:bookmarkEnd w:id="5"/>
      <w:r>
        <w:rPr/>
        <w:t>)</w:t>
        <w:tab/>
        <w:t xml:space="preserve">грузы-ТПН, </w:t>
      </w:r>
      <w:r>
        <w:rPr>
          <w:rStyle w:val="Fontstyle21"/>
          <w:i/>
          <w:iCs/>
          <w:sz w:val="24"/>
          <w:szCs w:val="24"/>
        </w:rPr>
        <w:t>(товары первой необходимости – товары, включенные в Перечень социально значимых продовольственных и непродовольственных товаров, в отношении которых в Донецкой Народной Республике, Луганской Народной Республике, Запорожской области и Херсонской области требуется осуществление мероприятий, направленных на недопущение дефицита и повышение доступности, одобренный Рабочей группой по реализации специального инфраструктурного проекта</w:t>
      </w:r>
      <w:r>
        <w:rPr>
          <w:rStyle w:val="Fontstyle21"/>
          <w:sz w:val="24"/>
          <w:szCs w:val="24"/>
        </w:rPr>
        <w:t xml:space="preserve"> *)</w:t>
      </w:r>
      <w:r>
        <w:rPr/>
        <w:t xml:space="preserve"> перевозимые автотранспортным средством, в том числе с использованием контейнеров;</w:t>
      </w:r>
    </w:p>
    <w:p>
      <w:pPr>
        <w:pStyle w:val="1"/>
        <w:tabs>
          <w:tab w:val="clear" w:pos="708"/>
          <w:tab w:val="left" w:pos="779" w:leader="none"/>
        </w:tabs>
        <w:spacing w:lineRule="auto" w:line="261"/>
        <w:ind w:left="540" w:hanging="120"/>
        <w:jc w:val="both"/>
        <w:rPr/>
      </w:pPr>
      <w:bookmarkStart w:id="6" w:name="bookmark6"/>
      <w:r>
        <w:rPr/>
        <w:t>в</w:t>
      </w:r>
      <w:bookmarkEnd w:id="6"/>
      <w:r>
        <w:rPr/>
        <w:t>)</w:t>
        <w:tab/>
        <w:t>контейнеры, используемые при перевозке автотранспортным средством, в том числе транзитом, по территории новых субъектов Российской Федерации груза, 25 и более процентов стоимости которого составляют ТПН, а также находящиеся на территории новых субъектов Российской Федерации в течение 3-х календарных дней со дня доставки такого груза получателю, включая день доставки;</w:t>
      </w:r>
    </w:p>
    <w:p>
      <w:pPr>
        <w:pStyle w:val="1"/>
        <w:tabs>
          <w:tab w:val="clear" w:pos="708"/>
          <w:tab w:val="left" w:pos="779" w:leader="none"/>
        </w:tabs>
        <w:spacing w:lineRule="auto" w:line="261" w:before="0" w:after="320"/>
        <w:ind w:left="540" w:hanging="120"/>
        <w:jc w:val="both"/>
        <w:rPr/>
      </w:pPr>
      <w:bookmarkStart w:id="7" w:name="bookmark7"/>
      <w:r>
        <w:rPr/>
        <w:t>г</w:t>
      </w:r>
      <w:bookmarkEnd w:id="7"/>
      <w:r>
        <w:rPr/>
        <w:t>)</w:t>
        <w:tab/>
        <w:t>железнодорожные подвижные составы, локомотивы и грузовые вагоны, предназначенные для перевозки грузов, эксплуатируемые на путях общего и необщего пользования на территории новых субъектов Российской Федерации.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694" w:leader="none"/>
        </w:tabs>
        <w:spacing w:lineRule="auto" w:line="261" w:before="0" w:after="320"/>
        <w:ind w:hanging="0"/>
        <w:jc w:val="both"/>
        <w:rPr/>
      </w:pPr>
      <w:bookmarkStart w:id="8" w:name="bookmark8"/>
      <w:bookmarkEnd w:id="8"/>
      <w:r>
        <w:rPr>
          <w:u w:val="single"/>
        </w:rPr>
        <w:t>Условия возмещения:</w:t>
      </w:r>
    </w:p>
    <w:p>
      <w:pPr>
        <w:pStyle w:val="1"/>
        <w:tabs>
          <w:tab w:val="clear" w:pos="708"/>
          <w:tab w:val="left" w:pos="760" w:leader="none"/>
        </w:tabs>
        <w:spacing w:lineRule="auto" w:line="264"/>
        <w:ind w:left="540" w:hanging="120"/>
        <w:jc w:val="both"/>
        <w:rPr/>
      </w:pPr>
      <w:bookmarkStart w:id="9" w:name="bookmark9"/>
      <w:r>
        <w:rPr/>
        <w:t>а</w:t>
      </w:r>
      <w:bookmarkEnd w:id="9"/>
      <w:r>
        <w:rPr/>
        <w:t>)</w:t>
        <w:tab/>
        <w:t>поврежденное имущество застраховано, в том числе от военных рисков с использованием механизма страхования военных рисков;</w:t>
      </w:r>
    </w:p>
    <w:p>
      <w:pPr>
        <w:pStyle w:val="1"/>
        <w:tabs>
          <w:tab w:val="clear" w:pos="708"/>
          <w:tab w:val="left" w:pos="779" w:leader="none"/>
        </w:tabs>
        <w:spacing w:lineRule="auto" w:line="264"/>
        <w:ind w:firstLine="420"/>
        <w:jc w:val="both"/>
        <w:rPr/>
      </w:pPr>
      <w:bookmarkStart w:id="10" w:name="bookmark10"/>
      <w:r>
        <w:rPr/>
        <w:t>б</w:t>
      </w:r>
      <w:bookmarkEnd w:id="10"/>
      <w:r>
        <w:rPr/>
        <w:t>)</w:t>
        <w:tab/>
        <w:t>ущерб имуществу причинен в результате реализации военного риска;</w:t>
      </w:r>
    </w:p>
    <w:p>
      <w:pPr>
        <w:pStyle w:val="1"/>
        <w:tabs>
          <w:tab w:val="clear" w:pos="708"/>
          <w:tab w:val="left" w:pos="779" w:leader="none"/>
        </w:tabs>
        <w:spacing w:lineRule="auto" w:line="264"/>
        <w:ind w:left="540" w:hanging="120"/>
        <w:jc w:val="both"/>
        <w:rPr/>
      </w:pPr>
      <w:bookmarkStart w:id="11" w:name="bookmark11"/>
      <w:r>
        <w:rPr/>
        <w:t>в</w:t>
      </w:r>
      <w:bookmarkEnd w:id="11"/>
      <w:r>
        <w:rPr/>
        <w:t>)</w:t>
        <w:tab/>
        <w:t>страховой случай произошел на территории Донецкой Народной Республики, Луганской Народной Республики, Запорожской области и Херсонской области;</w:t>
      </w:r>
    </w:p>
    <w:p>
      <w:pPr>
        <w:pStyle w:val="1"/>
        <w:tabs>
          <w:tab w:val="clear" w:pos="708"/>
          <w:tab w:val="left" w:pos="779" w:leader="none"/>
        </w:tabs>
        <w:spacing w:lineRule="auto" w:line="264" w:before="0" w:after="320"/>
        <w:ind w:left="540" w:hanging="120"/>
        <w:jc w:val="both"/>
        <w:rPr/>
      </w:pPr>
      <w:bookmarkStart w:id="12" w:name="bookmark12"/>
      <w:r>
        <w:rPr/>
        <w:t>г</w:t>
      </w:r>
      <w:bookmarkEnd w:id="12"/>
      <w:r>
        <w:rPr/>
        <w:t>)</w:t>
        <w:tab/>
        <w:t>страховой случай подтвержден документами о возбуждении уголовного дела по статье 205 или 281 Уголовного кодекса Российской Федерации.</w:t>
      </w:r>
    </w:p>
    <w:p>
      <w:pPr>
        <w:pStyle w:val="1"/>
        <w:numPr>
          <w:ilvl w:val="0"/>
          <w:numId w:val="2"/>
        </w:numPr>
        <w:spacing w:lineRule="auto" w:line="261" w:before="0" w:after="300"/>
        <w:ind w:hanging="0"/>
        <w:jc w:val="both"/>
        <w:rPr/>
      </w:pPr>
      <w:bookmarkStart w:id="13" w:name="bookmark13"/>
      <w:bookmarkEnd w:id="13"/>
      <w:r>
        <w:rPr>
          <w:u w:val="single"/>
        </w:rPr>
        <w:t>Договор страхования заключается со страховщиком</w:t>
      </w:r>
      <w:r>
        <w:rPr/>
        <w:t>, заключившими соответствующее соглашение с акционерным обществом «Российская Национальная Перестраховочная Компания» (АО РНПК).</w:t>
      </w:r>
    </w:p>
    <w:p>
      <w:pPr>
        <w:pStyle w:val="1"/>
        <w:ind w:firstLine="560"/>
        <w:jc w:val="both"/>
        <w:rPr>
          <w:b/>
          <w:bCs/>
        </w:rPr>
      </w:pPr>
      <w:r>
        <w:rPr>
          <w:b/>
          <w:bCs/>
        </w:rPr>
        <w:t>На 0</w:t>
      </w:r>
      <w:r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>10</w:t>
      </w:r>
      <w:r>
        <w:rPr>
          <w:b/>
          <w:bCs/>
        </w:rPr>
        <w:t>.2024 возможно обращение в: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47" w:leader="none"/>
        </w:tabs>
        <w:ind w:firstLine="680"/>
        <w:jc w:val="both"/>
        <w:rPr/>
      </w:pPr>
      <w:bookmarkStart w:id="14" w:name="bookmark14"/>
      <w:bookmarkEnd w:id="14"/>
      <w:r>
        <w:rPr/>
        <w:t xml:space="preserve">АО «СК «Астро-Волга» </w:t>
      </w:r>
      <w:r>
        <w:rPr>
          <w:u w:val="single"/>
        </w:rPr>
        <w:t>(</w:t>
      </w:r>
      <w:hyperlink r:id="rId2">
        <w:r>
          <w:rPr>
            <w:u w:val="single"/>
          </w:rPr>
          <w:t>https://astrovolga.ru/contacts/</w:t>
        </w:r>
      </w:hyperlink>
      <w:r>
        <w:rPr/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47" w:leader="none"/>
        </w:tabs>
        <w:ind w:firstLine="680"/>
        <w:jc w:val="both"/>
        <w:rPr/>
      </w:pPr>
      <w:bookmarkStart w:id="15" w:name="bookmark15"/>
      <w:bookmarkEnd w:id="15"/>
      <w:r>
        <w:rPr/>
        <w:t>ООО «ПСБ Страхование» (</w:t>
      </w:r>
      <w:hyperlink r:id="rId3">
        <w:r>
          <w:rPr>
            <w:u w:val="single"/>
          </w:rPr>
          <w:t>https://www.psbins.ru/about/contacts/</w:t>
        </w:r>
      </w:hyperlink>
      <w:r>
        <w:rPr/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47" w:leader="none"/>
        </w:tabs>
        <w:ind w:firstLine="680"/>
        <w:jc w:val="both"/>
        <w:rPr>
          <w:u w:val="single"/>
        </w:rPr>
      </w:pPr>
      <w:bookmarkStart w:id="16" w:name="bookmark16"/>
      <w:bookmarkEnd w:id="16"/>
      <w:r>
        <w:rPr/>
        <w:t>ООО «АМТ Страхование» (</w:t>
      </w:r>
      <w:hyperlink r:id="rId4">
        <w:r>
          <w:rPr>
            <w:u w:val="single"/>
          </w:rPr>
          <w:t>https:/7www.amt-insurance.com/contacts/</w:t>
        </w:r>
      </w:hyperlink>
      <w:r>
        <w:rPr>
          <w:u w:val="single"/>
        </w:rPr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47" w:leader="none"/>
        </w:tabs>
        <w:ind w:firstLine="680"/>
        <w:jc w:val="both"/>
        <w:rPr>
          <w:u w:val="single"/>
        </w:rPr>
      </w:pPr>
      <w:bookmarkStart w:id="17" w:name="bookmark17"/>
      <w:bookmarkEnd w:id="17"/>
      <w:r>
        <w:rPr>
          <w:u w:val="single"/>
        </w:rPr>
        <w:t>АО «СК ГАЙДЕ» (</w:t>
      </w:r>
      <w:hyperlink r:id="rId5">
        <w:r>
          <w:rPr>
            <w:u w:val="single"/>
          </w:rPr>
          <w:t>https://guidehins.ru/contacts/</w:t>
        </w:r>
      </w:hyperlink>
      <w:r>
        <w:rPr>
          <w:u w:val="single"/>
        </w:rPr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47" w:leader="none"/>
        </w:tabs>
        <w:ind w:firstLine="680"/>
        <w:jc w:val="both"/>
        <w:rPr/>
      </w:pPr>
      <w:bookmarkStart w:id="18" w:name="bookmark18"/>
      <w:bookmarkEnd w:id="18"/>
      <w:r>
        <w:rPr/>
        <w:t xml:space="preserve">АО «СК «Двадцать первый век» </w:t>
      </w:r>
      <w:r>
        <w:rPr>
          <w:u w:val="single"/>
        </w:rPr>
        <w:t>(https.7/21 -vek.spb.ru/contacts.html</w:t>
      </w:r>
      <w:r>
        <w:rPr/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52" w:leader="none"/>
        </w:tabs>
        <w:ind w:firstLine="680"/>
        <w:jc w:val="both"/>
        <w:rPr/>
      </w:pPr>
      <w:bookmarkStart w:id="19" w:name="bookmark19"/>
      <w:bookmarkEnd w:id="19"/>
      <w:r>
        <w:rPr/>
        <w:t xml:space="preserve">ООО Крымская первая страховая компания </w:t>
      </w:r>
      <w:r>
        <w:rPr>
          <w:u w:val="single"/>
        </w:rPr>
        <w:t>(</w:t>
      </w:r>
      <w:hyperlink r:id="rId6">
        <w:r>
          <w:rPr>
            <w:u w:val="single"/>
          </w:rPr>
          <w:t>https://kp sk-ins.ru/kontakty</w:t>
        </w:r>
      </w:hyperlink>
      <w:r>
        <w:rPr/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52" w:leader="none"/>
        </w:tabs>
        <w:ind w:firstLine="680"/>
        <w:jc w:val="both"/>
        <w:rPr/>
      </w:pPr>
      <w:bookmarkStart w:id="20" w:name="bookmark20"/>
      <w:bookmarkEnd w:id="20"/>
      <w:r>
        <w:rPr/>
        <w:t>АО «СК «СОЛИДАРНОСТЬ» (</w:t>
      </w:r>
      <w:hyperlink r:id="rId7">
        <w:r>
          <w:rPr>
            <w:u w:val="single"/>
          </w:rPr>
          <w:t>https://solidsk.ru/kontaktv</w:t>
        </w:r>
      </w:hyperlink>
      <w:r>
        <w:rPr/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52" w:leader="none"/>
        </w:tabs>
        <w:ind w:firstLine="680"/>
        <w:jc w:val="both"/>
        <w:rPr/>
      </w:pPr>
      <w:bookmarkStart w:id="21" w:name="bookmark21"/>
      <w:bookmarkEnd w:id="21"/>
      <w:r>
        <w:rPr/>
        <w:t>АО «СОГАЗ» (</w:t>
      </w:r>
      <w:hyperlink r:id="rId8">
        <w:r>
          <w:rPr>
            <w:u w:val="single"/>
          </w:rPr>
          <w:t>https://www.sogaz.ru/contacts/</w:t>
        </w:r>
      </w:hyperlink>
      <w:r>
        <w:rPr/>
        <w:t>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52" w:leader="none"/>
        </w:tabs>
        <w:ind w:firstLine="680"/>
        <w:jc w:val="both"/>
        <w:rPr/>
      </w:pPr>
      <w:bookmarkStart w:id="22" w:name="bookmark22"/>
      <w:bookmarkEnd w:id="22"/>
      <w:r>
        <w:rPr/>
        <w:t xml:space="preserve">АО «Зетта Страхование» </w:t>
      </w:r>
      <w:r>
        <w:rPr>
          <w:u w:val="single"/>
        </w:rPr>
        <w:t>(</w:t>
      </w:r>
      <w:hyperlink r:id="rId9">
        <w:r>
          <w:rPr>
            <w:rStyle w:val="-"/>
            <w:u w:val="single"/>
          </w:rPr>
          <w:t>https://life.zettains.ru/2022/contacts/</w:t>
        </w:r>
      </w:hyperlink>
      <w:hyperlink r:id="rId10">
        <w:r>
          <w:rPr/>
          <w:t>).</w:t>
        </w:r>
      </w:hyperlink>
    </w:p>
    <w:p>
      <w:pPr>
        <w:pStyle w:val="1"/>
        <w:numPr>
          <w:ilvl w:val="0"/>
          <w:numId w:val="1"/>
        </w:numPr>
        <w:tabs>
          <w:tab w:val="clear" w:pos="708"/>
          <w:tab w:val="left" w:pos="952" w:leader="none"/>
        </w:tabs>
        <w:ind w:firstLine="680"/>
        <w:jc w:val="both"/>
        <w:rPr>
          <w:b/>
          <w:bCs/>
        </w:rPr>
      </w:pPr>
      <w:r>
        <w:rPr>
          <w:b/>
          <w:bCs/>
        </w:rPr>
        <w:t>АО «Баланс Страхование» (https://balance-ins.ru/cont.php);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952" w:leader="none"/>
        </w:tabs>
        <w:ind w:firstLine="680"/>
        <w:jc w:val="both"/>
        <w:rPr/>
      </w:pPr>
      <w:r>
        <w:rPr>
          <w:b/>
          <w:bCs/>
        </w:rPr>
        <w:t>ООО «Сбербанк Страхование» (</w:t>
      </w:r>
      <w:hyperlink r:id="rId11">
        <w:r>
          <w:rPr>
            <w:rStyle w:val="-"/>
            <w:b/>
            <w:bCs/>
          </w:rPr>
          <w:t>https://sbcrbankins.ru/about/contacts/</w:t>
        </w:r>
      </w:hyperlink>
      <w:hyperlink r:id="rId12">
        <w:r>
          <w:rPr>
            <w:b/>
            <w:bCs/>
          </w:rPr>
          <w:t>).</w:t>
        </w:r>
      </w:hyperlink>
    </w:p>
    <w:p>
      <w:pPr>
        <w:pStyle w:val="1"/>
        <w:numPr>
          <w:ilvl w:val="0"/>
          <w:numId w:val="0"/>
        </w:numPr>
        <w:tabs>
          <w:tab w:val="clear" w:pos="708"/>
          <w:tab w:val="left" w:pos="952" w:leader="none"/>
        </w:tabs>
        <w:ind w:hanging="0"/>
        <w:jc w:val="both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806" w:leader="none"/>
        </w:tabs>
        <w:spacing w:before="0" w:after="300"/>
        <w:ind w:left="680" w:hanging="680"/>
        <w:jc w:val="both"/>
        <w:rPr/>
      </w:pPr>
      <w:bookmarkStart w:id="23" w:name="bookmark23"/>
      <w:bookmarkEnd w:id="23"/>
      <w:r>
        <w:rPr>
          <w:u w:val="single"/>
        </w:rPr>
        <w:t>Страховая сумма</w:t>
      </w:r>
      <w:r>
        <w:rPr/>
        <w:t xml:space="preserve"> по договору страхования в части военных рисков не превышает действительную стоимость застрахованного имущества и страховую сумму по основным рискам, устанавливается в пределах 100 (сто миллионов) рублей на одну транспортную единицу и 100 (сто миллионов) рублей на ТПН.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06" w:leader="none"/>
        </w:tabs>
        <w:spacing w:before="0" w:after="300"/>
        <w:ind w:left="680" w:hanging="680"/>
        <w:jc w:val="both"/>
        <w:rPr/>
      </w:pPr>
      <w:bookmarkStart w:id="24" w:name="bookmark24"/>
      <w:bookmarkEnd w:id="24"/>
      <w:r>
        <w:rPr>
          <w:u w:val="single"/>
        </w:rPr>
        <w:t>Дополнительная страховая премия за включение в договор страхования военных рисков страховщиком не взимается.</w:t>
      </w:r>
    </w:p>
    <w:p>
      <w:pPr>
        <w:pStyle w:val="1"/>
        <w:spacing w:before="0" w:after="300"/>
        <w:ind w:firstLine="680"/>
        <w:jc w:val="both"/>
        <w:rPr/>
      </w:pPr>
      <w:r>
        <w:rPr/>
        <w:t>Точные условия страхования необходимо уточнять у страховой организации.</w:t>
      </w:r>
    </w:p>
    <w:p>
      <w:pPr>
        <w:pStyle w:val="1"/>
        <w:spacing w:lineRule="auto" w:line="228" w:before="0" w:after="260"/>
        <w:ind w:hanging="0"/>
        <w:jc w:val="center"/>
        <w:rPr/>
      </w:pPr>
      <w:r>
        <w:rPr/>
      </w:r>
    </w:p>
    <w:p>
      <w:pPr>
        <w:pStyle w:val="1"/>
        <w:spacing w:lineRule="auto" w:line="228" w:before="0" w:after="260"/>
        <w:ind w:hanging="0"/>
        <w:jc w:val="center"/>
        <w:rPr/>
      </w:pPr>
      <w:r>
        <w:rPr/>
      </w:r>
    </w:p>
    <w:p>
      <w:pPr>
        <w:pStyle w:val="1"/>
        <w:spacing w:lineRule="auto" w:line="228" w:before="0" w:after="260"/>
        <w:ind w:hanging="0"/>
        <w:jc w:val="center"/>
        <w:rPr/>
      </w:pPr>
      <w:r>
        <w:rPr/>
      </w:r>
    </w:p>
    <w:p>
      <w:pPr>
        <w:pStyle w:val="1"/>
        <w:spacing w:lineRule="auto" w:line="228" w:before="0" w:after="260"/>
        <w:ind w:hanging="0"/>
        <w:jc w:val="center"/>
        <w:rPr/>
      </w:pPr>
      <w:r>
        <w:rPr/>
        <w:t>* Перечень социально значимых продовольственных и непродовольственных</w:t>
        <w:br/>
        <w:t>товаров, в отношении которых в Донецкой Народной Республике, Луганской</w:t>
        <w:br/>
        <w:t>Народной Республике, Запорожской области и Херсонской области требуется</w:t>
        <w:br/>
        <w:t>осуществление мероприятий, направленных на недопущение дефицита и</w:t>
        <w:br/>
        <w:t>повышение доступности, одобренный Рабочей группой по реализации</w:t>
        <w:br/>
        <w:t>специального инфраструктурного проекта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34" w:leader="none"/>
        </w:tabs>
        <w:spacing w:lineRule="auto" w:line="240"/>
        <w:rPr/>
      </w:pPr>
      <w:bookmarkStart w:id="25" w:name="bookmark25"/>
      <w:bookmarkEnd w:id="25"/>
      <w:r>
        <w:rPr/>
        <w:t>Картофель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4" w:leader="none"/>
        </w:tabs>
        <w:spacing w:lineRule="auto" w:line="240"/>
        <w:rPr/>
      </w:pPr>
      <w:bookmarkStart w:id="26" w:name="bookmark26"/>
      <w:bookmarkEnd w:id="26"/>
      <w:r>
        <w:rPr/>
        <w:t>Капуста белокочанная свежая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4" w:leader="none"/>
        </w:tabs>
        <w:spacing w:lineRule="auto" w:line="240"/>
        <w:rPr/>
      </w:pPr>
      <w:bookmarkStart w:id="27" w:name="bookmark27"/>
      <w:bookmarkEnd w:id="27"/>
      <w:r>
        <w:rPr/>
        <w:t>Лук репчатый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8" w:leader="none"/>
        </w:tabs>
        <w:spacing w:lineRule="auto" w:line="240"/>
        <w:rPr/>
      </w:pPr>
      <w:bookmarkStart w:id="28" w:name="bookmark28"/>
      <w:bookmarkEnd w:id="28"/>
      <w:r>
        <w:rPr/>
        <w:t>Свекла столовая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8" w:leader="none"/>
        </w:tabs>
        <w:spacing w:lineRule="auto" w:line="240"/>
        <w:rPr/>
      </w:pPr>
      <w:bookmarkStart w:id="29" w:name="bookmark29"/>
      <w:bookmarkEnd w:id="29"/>
      <w:r>
        <w:rPr/>
        <w:t>Морковь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8" w:leader="none"/>
        </w:tabs>
        <w:spacing w:lineRule="auto" w:line="240"/>
        <w:rPr/>
      </w:pPr>
      <w:bookmarkStart w:id="30" w:name="bookmark30"/>
      <w:bookmarkEnd w:id="30"/>
      <w:r>
        <w:rPr/>
        <w:t>Огурцы свежие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8" w:leader="none"/>
        </w:tabs>
        <w:spacing w:lineRule="auto" w:line="240"/>
        <w:rPr/>
      </w:pPr>
      <w:bookmarkStart w:id="31" w:name="bookmark31"/>
      <w:bookmarkEnd w:id="31"/>
      <w:r>
        <w:rPr/>
        <w:t>Помидоры свежие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8" w:leader="none"/>
        </w:tabs>
        <w:spacing w:lineRule="auto" w:line="240"/>
        <w:rPr/>
      </w:pPr>
      <w:bookmarkStart w:id="32" w:name="bookmark32"/>
      <w:bookmarkEnd w:id="32"/>
      <w:r>
        <w:rPr/>
        <w:t>Консервы мясные для детского питания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358" w:leader="none"/>
        </w:tabs>
        <w:spacing w:lineRule="auto" w:line="240"/>
        <w:rPr/>
      </w:pPr>
      <w:bookmarkStart w:id="33" w:name="bookmark33"/>
      <w:bookmarkEnd w:id="33"/>
      <w:r>
        <w:rPr/>
        <w:t>Консервы овощные для детского питания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34" w:name="bookmark34"/>
      <w:bookmarkEnd w:id="34"/>
      <w:r>
        <w:rPr/>
        <w:t>Консервы фруктово-ягодные для детского питания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35" w:name="bookmark35"/>
      <w:bookmarkEnd w:id="35"/>
      <w:r>
        <w:rPr/>
        <w:t>Смеси сухие молочные для детского питания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36" w:name="bookmark36"/>
      <w:bookmarkEnd w:id="36"/>
      <w:r>
        <w:rPr/>
        <w:t>Пеленки для новорожденных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37" w:name="bookmark37"/>
      <w:bookmarkEnd w:id="37"/>
      <w:r>
        <w:rPr/>
        <w:t>Подгузники детские бумажные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38" w:name="bookmark38"/>
      <w:bookmarkEnd w:id="38"/>
      <w:r>
        <w:rPr/>
        <w:t>Брюки для детей школьного возраста из джинсовой ткани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39" w:name="bookmark39"/>
      <w:bookmarkEnd w:id="39"/>
      <w:r>
        <w:rPr/>
        <w:t>Костюм спортивный для детей школьного возраста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40" w:name="bookmark40"/>
      <w:bookmarkEnd w:id="40"/>
      <w:r>
        <w:rPr/>
        <w:t>Футболка детская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41" w:name="bookmark41"/>
      <w:bookmarkEnd w:id="41"/>
      <w:r>
        <w:rPr/>
        <w:t>Кроссовые туфли для детей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42" w:name="bookmark42"/>
      <w:bookmarkEnd w:id="42"/>
      <w:r>
        <w:rPr/>
        <w:t>Говядина (кроме бескостного мяса)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54" w:leader="none"/>
        </w:tabs>
        <w:spacing w:lineRule="auto" w:line="240"/>
        <w:rPr/>
      </w:pPr>
      <w:bookmarkStart w:id="43" w:name="bookmark43"/>
      <w:bookmarkEnd w:id="43"/>
      <w:r>
        <w:rPr/>
        <w:t>Свинина (кроме бескостного мяса)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44" w:name="bookmark44"/>
      <w:bookmarkEnd w:id="44"/>
      <w:r>
        <w:rPr/>
        <w:t>Баранина (кроме бескостного мяса)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45" w:name="bookmark45"/>
      <w:bookmarkEnd w:id="45"/>
      <w:r>
        <w:rPr/>
        <w:t>Куры охлажденные и мороженые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46" w:name="bookmark46"/>
      <w:bookmarkEnd w:id="46"/>
      <w:r>
        <w:rPr/>
        <w:t>Сосиски,сардельки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47" w:name="bookmark47"/>
      <w:bookmarkEnd w:id="47"/>
      <w:r>
        <w:rPr/>
        <w:t>Колбаса полукопченая и варено-копченая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48" w:name="bookmark48"/>
      <w:bookmarkEnd w:id="48"/>
      <w:r>
        <w:rPr/>
        <w:t>Колбаса вареная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49" w:name="bookmark49"/>
      <w:bookmarkEnd w:id="49"/>
      <w:r>
        <w:rPr/>
        <w:t>Рыба мороженая неразделанная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0" w:name="bookmark50"/>
      <w:bookmarkEnd w:id="50"/>
      <w:r>
        <w:rPr/>
        <w:t>Масло сливочное, кг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1" w:name="bookmark51"/>
      <w:bookmarkEnd w:id="51"/>
      <w:r>
        <w:rPr/>
        <w:t>Масло подсолнечное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2" w:name="bookmark52"/>
      <w:bookmarkEnd w:id="52"/>
      <w:r>
        <w:rPr/>
        <w:t>Маргарин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3" w:name="bookmark53"/>
      <w:bookmarkEnd w:id="53"/>
      <w:r>
        <w:rPr/>
        <w:t>Молоко питьевое цельное пастеризованное 2,5-3,2% жирности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4" w:name="bookmark54"/>
      <w:bookmarkEnd w:id="54"/>
      <w:r>
        <w:rPr/>
        <w:t>Молоко питьевое цельное стерилизованное 2,5-3,2% жирности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5" w:name="bookmark55"/>
      <w:bookmarkEnd w:id="55"/>
      <w:r>
        <w:rPr/>
        <w:t>Сметана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6" w:name="bookmark56"/>
      <w:bookmarkEnd w:id="56"/>
      <w:r>
        <w:rPr/>
        <w:t>Творог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7" w:name="bookmark57"/>
      <w:bookmarkEnd w:id="57"/>
      <w:r>
        <w:rPr/>
        <w:t>Сыры твердые, полутвердые и мягкие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8" w:name="bookmark58"/>
      <w:bookmarkEnd w:id="58"/>
      <w:r>
        <w:rPr/>
        <w:t>Яйца куриные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59" w:name="bookmark59"/>
      <w:bookmarkEnd w:id="59"/>
      <w:r>
        <w:rPr/>
        <w:t>Сахар-песок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0" w:name="bookmark60"/>
      <w:bookmarkEnd w:id="60"/>
      <w:r>
        <w:rPr/>
        <w:t>Печенье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1" w:name="bookmark61"/>
      <w:bookmarkEnd w:id="61"/>
      <w:r>
        <w:rPr/>
        <w:t>Чай черный байховый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2" w:name="bookmark62"/>
      <w:bookmarkEnd w:id="62"/>
      <w:r>
        <w:rPr/>
        <w:t>Соль поваренная пищевая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3" w:name="bookmark63"/>
      <w:bookmarkEnd w:id="63"/>
      <w:r>
        <w:rPr/>
        <w:t>Мука пшеничная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4" w:name="bookmark64"/>
      <w:bookmarkEnd w:id="64"/>
      <w:r>
        <w:rPr/>
        <w:t>Хлеб из ржаной муки и из смеси муки ржаной и пшеничной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5" w:name="bookmark65"/>
      <w:bookmarkEnd w:id="65"/>
      <w:r>
        <w:rPr/>
        <w:t>Хлеб и булочные изделия из пшеничной муки различных сортов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6" w:name="bookmark66"/>
      <w:bookmarkEnd w:id="66"/>
      <w:r>
        <w:rPr/>
        <w:t>Рис шлифованный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7" w:name="bookmark67"/>
      <w:bookmarkEnd w:id="67"/>
      <w:r>
        <w:rPr/>
        <w:t>Пшено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8" w:name="bookmark68"/>
      <w:bookmarkEnd w:id="68"/>
      <w:r>
        <w:rPr/>
        <w:t>Крупа гречневая-ядрица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69" w:name="bookmark69"/>
      <w:bookmarkEnd w:id="69"/>
      <w:r>
        <w:rPr/>
        <w:t>Вермишель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spacing w:lineRule="auto" w:line="240"/>
        <w:rPr/>
      </w:pPr>
      <w:bookmarkStart w:id="70" w:name="bookmark70"/>
      <w:bookmarkEnd w:id="70"/>
      <w:r>
        <w:rPr/>
        <w:t>Макаронные изделия из пшеничной муки высшего сорта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1" w:name="bookmark71"/>
      <w:bookmarkEnd w:id="71"/>
      <w:r>
        <w:rPr/>
        <w:t>Яблоки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2" w:name="bookmark72"/>
      <w:bookmarkEnd w:id="72"/>
      <w:r>
        <w:rPr/>
        <w:t>Сухие корма для домашних животных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3" w:name="bookmark73"/>
      <w:bookmarkEnd w:id="73"/>
      <w:r>
        <w:rPr/>
        <w:t>Майка, футболка мужская бельевая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4" w:name="bookmark74"/>
      <w:bookmarkEnd w:id="74"/>
      <w:r>
        <w:rPr/>
        <w:t>Носки мужские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5" w:name="bookmark75"/>
      <w:bookmarkEnd w:id="75"/>
      <w:r>
        <w:rPr/>
        <w:t>Колготки женские эластичные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6" w:name="bookmark76"/>
      <w:bookmarkEnd w:id="76"/>
      <w:r>
        <w:rPr/>
        <w:t>Кроссовые туфли для взрослых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7" w:name="bookmark77"/>
      <w:bookmarkEnd w:id="77"/>
      <w:r>
        <w:rPr/>
        <w:t>Мыло хозяйственное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8" w:name="bookmark78"/>
      <w:bookmarkEnd w:id="78"/>
      <w:r>
        <w:rPr/>
        <w:t>Порошок стиральный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79" w:name="bookmark79"/>
      <w:bookmarkEnd w:id="79"/>
      <w:r>
        <w:rPr/>
        <w:t>Мыло туалетное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0" w:name="bookmark80"/>
      <w:bookmarkEnd w:id="80"/>
      <w:r>
        <w:rPr/>
        <w:t>Шампунь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1" w:name="bookmark81"/>
      <w:bookmarkEnd w:id="81"/>
      <w:r>
        <w:rPr/>
        <w:t>Паста зубная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2" w:name="bookmark82"/>
      <w:bookmarkEnd w:id="82"/>
      <w:r>
        <w:rPr/>
        <w:t>Щетка зубная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3" w:name="bookmark83"/>
      <w:bookmarkEnd w:id="83"/>
      <w:r>
        <w:rPr/>
        <w:t>Сигареты с фильтром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4" w:name="bookmark84"/>
      <w:bookmarkEnd w:id="84"/>
      <w:r>
        <w:rPr/>
        <w:t>Спички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5" w:name="bookmark85"/>
      <w:bookmarkEnd w:id="85"/>
      <w:r>
        <w:rPr/>
        <w:t>Бумага туалетная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6" w:name="bookmark86"/>
      <w:bookmarkEnd w:id="86"/>
      <w:r>
        <w:rPr/>
        <w:t>Прокладки женские гигиенические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87" w:name="bookmark87"/>
      <w:bookmarkEnd w:id="87"/>
      <w:r>
        <w:rPr/>
        <w:t>Раствор готовый кладочный, цементный (М150)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88" w:name="bookmark88"/>
      <w:bookmarkEnd w:id="88"/>
      <w:r>
        <w:rPr/>
        <w:t>Профиль направляющий из оцинкованной стали, для монтажа гипсовых перегородок и подвесных, потолков, размеры 60x27 мм, толщина стали 0,6 мм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89" w:name="bookmark89"/>
      <w:bookmarkEnd w:id="89"/>
      <w:r>
        <w:rPr/>
        <w:t>Блок оконный из ПВХ-профиля двухстворчатый, с глухой и поворотнооткидной створкой, двухкамерным стеклопакетом толщиной 32 мм, площадь от 2,01 до 2,5м2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8" w:leader="none"/>
        </w:tabs>
        <w:rPr/>
      </w:pPr>
      <w:bookmarkStart w:id="90" w:name="bookmark90"/>
      <w:bookmarkEnd w:id="90"/>
      <w:r>
        <w:rPr/>
        <w:t>Блок дверной балконный из ПВХ-профилей, поворотный, с двухкамерным стеклопакетом толщиной 32 мм, площадь более 1,5м2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91" w:name="bookmark91"/>
      <w:bookmarkEnd w:id="91"/>
      <w:r>
        <w:rPr/>
        <w:t>Блок дверной деревянный внутренний распашной глухой, площадь до 2,0м2 , материал комбинированный с</w:t>
      </w:r>
    </w:p>
    <w:p>
      <w:pPr>
        <w:pStyle w:val="23"/>
        <w:rPr/>
      </w:pPr>
      <w:r>
        <w:rPr/>
        <w:t>покрытием на бумажной основе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92" w:name="bookmark92"/>
      <w:bookmarkEnd w:id="92"/>
      <w:r>
        <w:rPr/>
        <w:t>Радиатор алюминиевый секционный с боковым подключением, количество секций 10, межосевое расстояние 200 мм, рабочее давление до 3 МПа, максимальная температура теплоносителя до 135 С, тепловая мощность до 0,99 кВт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93" w:name="bookmark93"/>
      <w:bookmarkEnd w:id="93"/>
      <w:r>
        <w:rPr/>
        <w:t>Листы гипсокартонные влагостойкие ГКЛВ, толщина 12,5 мм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94" w:name="bookmark94"/>
      <w:bookmarkEnd w:id="94"/>
      <w:r>
        <w:rPr/>
        <w:t>Линолеум ПВХ на теплозвукоизолирующей подоснове, с дополнительным защитным слоем, с рисунком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95" w:name="bookmark95"/>
      <w:bookmarkEnd w:id="95"/>
      <w:r>
        <w:rPr/>
        <w:t>Провод силовой гибкий с медными жилами ПВСнг-ББ 3x2,5-660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96" w:name="bookmark96"/>
      <w:bookmarkEnd w:id="96"/>
      <w:r>
        <w:rPr/>
        <w:t>Плиты теплоизоляционные из минеральной ваты на основе базальтовых пород, плотностью 35-49 кг/мЗ, теплопроводность не более 0,038 Вт (м*К);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97" w:name="bookmark97"/>
      <w:bookmarkEnd w:id="97"/>
      <w:r>
        <w:rPr/>
        <w:t>Унитаз керамический напольный в комплекте с бачком, с косым выпуском, с цельноотливной полочкой, размеры 350x625x730 мм;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98" w:name="bookmark98"/>
      <w:bookmarkEnd w:id="98"/>
      <w:r>
        <w:rPr/>
        <w:t>Трубы полипропиленовые ПП-Р, номинальное давление 1,6 Мпа, номинальный наружный диаметр 20 мм;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83" w:leader="none"/>
        </w:tabs>
        <w:rPr/>
      </w:pPr>
      <w:bookmarkStart w:id="99" w:name="bookmark99"/>
      <w:bookmarkEnd w:id="99"/>
      <w:r>
        <w:rPr/>
        <w:t>Трубы стальные сварные неоцинкованные водогазопроводные с резьбой, обыкновенные, номинальный диаметр 25 мм, толщина стенки 3,2 мм;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100" w:name="bookmark100"/>
      <w:bookmarkEnd w:id="100"/>
      <w:r>
        <w:rPr/>
        <w:t>Обои бумажные, двухслойные, декоративные (фотообои), с лаковым покрытием;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101" w:name="bookmark101"/>
      <w:bookmarkEnd w:id="101"/>
      <w:r>
        <w:rPr/>
        <w:t>Плитка керамогранитная, неполированная, многоцветная, толщина 9 мм;</w:t>
      </w:r>
    </w:p>
    <w:p>
      <w:pPr>
        <w:pStyle w:val="23"/>
        <w:numPr>
          <w:ilvl w:val="0"/>
          <w:numId w:val="3"/>
        </w:numPr>
        <w:tabs>
          <w:tab w:val="clear" w:pos="708"/>
          <w:tab w:val="left" w:pos="478" w:leader="none"/>
        </w:tabs>
        <w:rPr/>
      </w:pPr>
      <w:bookmarkStart w:id="102" w:name="bookmark102"/>
      <w:bookmarkEnd w:id="102"/>
      <w:r>
        <w:rPr/>
        <w:t>Блоки из ячеистых бетонов стеновые 1 категории, объемная масса 500 кг/мЗ , бетон В2,5;</w:t>
      </w:r>
    </w:p>
    <w:p>
      <w:pPr>
        <w:pStyle w:val="1"/>
        <w:widowControl w:val="false"/>
        <w:numPr>
          <w:ilvl w:val="0"/>
          <w:numId w:val="3"/>
        </w:numPr>
        <w:tabs>
          <w:tab w:val="clear" w:pos="708"/>
          <w:tab w:val="left" w:pos="206" w:leader="none"/>
        </w:tabs>
        <w:bidi w:val="0"/>
        <w:spacing w:lineRule="auto" w:line="276" w:before="0" w:after="0"/>
        <w:ind w:left="0" w:right="0" w:hanging="0"/>
        <w:jc w:val="left"/>
        <w:rPr>
          <w:b/>
          <w:bCs/>
        </w:rPr>
      </w:pPr>
      <w:r>
        <w:rPr>
          <w:b/>
          <w:bCs/>
        </w:rPr>
        <w:t>Бензин автомобильный;</w:t>
      </w:r>
    </w:p>
    <w:p>
      <w:pPr>
        <w:pStyle w:val="1"/>
        <w:widowControl w:val="false"/>
        <w:numPr>
          <w:ilvl w:val="0"/>
          <w:numId w:val="3"/>
        </w:numPr>
        <w:tabs>
          <w:tab w:val="clear" w:pos="708"/>
          <w:tab w:val="left" w:pos="206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b/>
          <w:bCs/>
        </w:rPr>
        <w:t>Дизельное топливо;</w:t>
      </w:r>
    </w:p>
    <w:p>
      <w:pPr>
        <w:pStyle w:val="1"/>
        <w:widowControl w:val="false"/>
        <w:numPr>
          <w:ilvl w:val="0"/>
          <w:numId w:val="3"/>
        </w:numPr>
        <w:tabs>
          <w:tab w:val="clear" w:pos="708"/>
          <w:tab w:val="left" w:pos="206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b/>
          <w:bCs/>
        </w:rPr>
        <w:t>Газомоторное топливо (компримированный природный газ, сжиженный природный газ, сжиженный углеводородный газ).</w:t>
      </w:r>
    </w:p>
    <w:sectPr>
      <w:headerReference w:type="default" r:id="rId13"/>
      <w:footnotePr>
        <w:numFmt w:val="decimal"/>
      </w:footnotePr>
      <w:type w:val="nextPage"/>
      <w:pgSz w:w="11906" w:h="16838"/>
      <w:pgMar w:left="1096" w:right="1090" w:gutter="0" w:header="0" w:top="1091" w:footer="0" w:bottom="82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tabs>
          <w:tab w:val="clear" w:pos="708"/>
          <w:tab w:val="left" w:pos="134" w:leader="none"/>
        </w:tabs>
        <w:spacing w:lineRule="auto" w:line="228"/>
        <w:rPr/>
      </w:pPr>
      <w:r>
        <w:rPr>
          <w:rStyle w:val="Style17"/>
        </w:rPr>
        <w:footnoteRef/>
      </w:r>
      <w:r>
        <w:rPr/>
        <w:tab/>
        <w:t>риски причинения вреда имуществу физических и (или) юридических лиц вследствие событий, произошедших в результате диверсий, террористических актов.</w:t>
      </w:r>
    </w:p>
  </w:footnote>
  <w:footnote w:id="3">
    <w:p>
      <w:pPr>
        <w:pStyle w:val="Style27"/>
        <w:tabs>
          <w:tab w:val="clear" w:pos="708"/>
          <w:tab w:val="left" w:pos="230" w:leader="none"/>
        </w:tabs>
        <w:spacing w:lineRule="auto" w:line="228"/>
        <w:rPr/>
      </w:pPr>
      <w:r>
        <w:rPr>
          <w:rStyle w:val="Style17"/>
        </w:rPr>
        <w:footnoteRef/>
      </w:r>
      <w:r>
        <w:rPr/>
        <w:tab/>
        <w:t>Донецкая Народная Республика, Луганская Народная Республика, Запорожская область, Херсонская область.</w:t>
      </w:r>
    </w:p>
  </w:footnote>
  <w:footnote w:id="4">
    <w:p>
      <w:pPr>
        <w:pStyle w:val="Style27"/>
        <w:tabs>
          <w:tab w:val="clear" w:pos="708"/>
          <w:tab w:val="left" w:pos="149" w:leader="none"/>
        </w:tabs>
        <w:jc w:val="both"/>
        <w:rPr/>
      </w:pPr>
      <w:r>
        <w:rPr>
          <w:rStyle w:val="Style17"/>
        </w:rPr>
        <w:footnoteRef/>
      </w:r>
      <w:r>
        <w:rPr/>
        <w:tab/>
        <w:t>ТПН (товары первой необходимости) - товары, включенные в Перечень социально значимых продовольственных и непродовольственных товаров, в отношении которых в Донецкой Народной Республике, Луганской Народной Республике, Запорожской области и Херсонской области требуется осуществление мероприятий, направленных на недопущение дефицита и повышение доступности, одобренный Рабочей группой по реализации специального инфраструктурного проекта (прилагается).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color w:val="141414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141414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rFonts w:ascii="Times New Roman" w:hAnsi="Times New Roman" w:eastAsia="Times New Roman" w:cs="Times New Roman"/>
        <w:color w:val="141414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link w:val="Style2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141414"/>
      <w:sz w:val="22"/>
      <w:szCs w:val="22"/>
      <w:u w:val="none"/>
      <w:shd w:fill="auto" w:val="clear"/>
    </w:rPr>
  </w:style>
  <w:style w:type="character" w:styleId="2" w:customStyle="1">
    <w:name w:val="Колонтитул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Style15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141414"/>
      <w:sz w:val="26"/>
      <w:szCs w:val="26"/>
      <w:u w:val="none"/>
      <w:shd w:fill="auto" w:val="clear"/>
    </w:rPr>
  </w:style>
  <w:style w:type="character" w:styleId="4" w:customStyle="1">
    <w:name w:val="Основной текст (4)_"/>
    <w:basedOn w:val="DefaultParagraphFont"/>
    <w:link w:val="4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1E1E22"/>
      <w:sz w:val="18"/>
      <w:szCs w:val="18"/>
      <w:u w:val="none"/>
      <w:shd w:fill="auto" w:val="clear"/>
    </w:rPr>
  </w:style>
  <w:style w:type="character" w:styleId="21" w:customStyle="1">
    <w:name w:val="Основной текст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141414"/>
      <w:sz w:val="22"/>
      <w:szCs w:val="22"/>
      <w:u w:val="none"/>
      <w:shd w:fill="auto" w:val="clear"/>
    </w:rPr>
  </w:style>
  <w:style w:type="character" w:styleId="5" w:customStyle="1">
    <w:name w:val="Основной текст (5)_"/>
    <w:basedOn w:val="DefaultParagraphFont"/>
    <w:link w:val="51"/>
    <w:qFormat/>
    <w:rPr>
      <w:b w:val="false"/>
      <w:bCs w:val="false"/>
      <w:i w:val="false"/>
      <w:iCs w:val="false"/>
      <w:smallCaps/>
      <w:strike w:val="false"/>
      <w:dstrike w:val="false"/>
      <w:color w:val="676766"/>
      <w:sz w:val="20"/>
      <w:szCs w:val="20"/>
      <w:u w:val="none"/>
      <w:shd w:fill="auto" w:val="clear"/>
    </w:rPr>
  </w:style>
  <w:style w:type="character" w:styleId="Style16" w:customStyle="1">
    <w:name w:val="Подпись к картинке_"/>
    <w:basedOn w:val="DefaultParagraphFont"/>
    <w:link w:val="Style2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3" w:customStyle="1">
    <w:name w:val="Основной текст (3)_"/>
    <w:basedOn w:val="DefaultParagraphFont"/>
    <w:link w:val="3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1E1E22"/>
      <w:sz w:val="12"/>
      <w:szCs w:val="12"/>
      <w:u w:val="none"/>
      <w:shd w:fill="auto" w:val="clear"/>
    </w:rPr>
  </w:style>
  <w:style w:type="character" w:styleId="6" w:customStyle="1">
    <w:name w:val="Основной текст (6)_"/>
    <w:basedOn w:val="DefaultParagraphFont"/>
    <w:link w:val="6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437FB7"/>
      <w:sz w:val="9"/>
      <w:szCs w:val="9"/>
      <w:u w:val="none"/>
      <w:shd w:fill="auto" w:val="clear"/>
    </w:rPr>
  </w:style>
  <w:style w:type="character" w:styleId="Fontstyle21" w:customStyle="1">
    <w:name w:val="fontstyle21"/>
    <w:basedOn w:val="DefaultParagraphFont"/>
    <w:qFormat/>
    <w:rsid w:val="00d5060e"/>
    <w:rPr>
      <w:rFonts w:ascii="Cambria" w:hAnsi="Cambria"/>
      <w:b w:val="false"/>
      <w:bCs w:val="false"/>
      <w:i w:val="false"/>
      <w:iCs w:val="false"/>
      <w:color w:val="000000"/>
      <w:sz w:val="26"/>
      <w:szCs w:val="26"/>
    </w:rPr>
  </w:style>
  <w:style w:type="character" w:styleId="-">
    <w:name w:val="Hyperlink"/>
    <w:rPr>
      <w:color w:val="000080"/>
      <w:u w:val="single"/>
    </w:rPr>
  </w:style>
  <w:style w:type="character" w:styleId="Style17">
    <w:name w:val="Символ сноски"/>
    <w:qFormat/>
    <w:rPr/>
  </w:style>
  <w:style w:type="character" w:styleId="Style18">
    <w:name w:val="Символ сноски"/>
    <w:qFormat/>
    <w:rPr/>
  </w:style>
  <w:style w:type="character" w:styleId="Style19">
    <w:name w:val="Footnote Reference"/>
    <w:rPr>
      <w:vertAlign w:val="superscript"/>
    </w:rPr>
  </w:style>
  <w:style w:type="character" w:styleId="Style20">
    <w:name w:val="Endnote Reference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 w:customStyle="1">
    <w:name w:val="Footnote Text"/>
    <w:basedOn w:val="Normal"/>
    <w:link w:val="Style14"/>
    <w:pPr>
      <w:spacing w:lineRule="auto" w:line="220"/>
    </w:pPr>
    <w:rPr>
      <w:rFonts w:ascii="Times New Roman" w:hAnsi="Times New Roman" w:eastAsia="Times New Roman" w:cs="Times New Roman"/>
      <w:color w:val="141414"/>
      <w:sz w:val="22"/>
      <w:szCs w:val="22"/>
    </w:rPr>
  </w:style>
  <w:style w:type="paragraph" w:styleId="22" w:customStyle="1">
    <w:name w:val="Колонтитул (2)"/>
    <w:basedOn w:val="Normal"/>
    <w:link w:val="2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1" w:customStyle="1">
    <w:name w:val="Основной текст1"/>
    <w:basedOn w:val="Normal"/>
    <w:link w:val="Style15"/>
    <w:qFormat/>
    <w:pPr>
      <w:spacing w:lineRule="auto" w:line="264"/>
      <w:ind w:firstLine="400"/>
    </w:pPr>
    <w:rPr>
      <w:rFonts w:ascii="Times New Roman" w:hAnsi="Times New Roman" w:eastAsia="Times New Roman" w:cs="Times New Roman"/>
      <w:color w:val="141414"/>
      <w:sz w:val="26"/>
      <w:szCs w:val="26"/>
    </w:rPr>
  </w:style>
  <w:style w:type="paragraph" w:styleId="41" w:customStyle="1">
    <w:name w:val="Основной текст (4)"/>
    <w:basedOn w:val="Normal"/>
    <w:link w:val="4"/>
    <w:qFormat/>
    <w:pPr>
      <w:spacing w:lineRule="auto" w:line="271"/>
      <w:jc w:val="center"/>
    </w:pPr>
    <w:rPr>
      <w:rFonts w:ascii="Times New Roman" w:hAnsi="Times New Roman" w:eastAsia="Times New Roman" w:cs="Times New Roman"/>
      <w:color w:val="1E1E22"/>
      <w:sz w:val="18"/>
      <w:szCs w:val="18"/>
    </w:rPr>
  </w:style>
  <w:style w:type="paragraph" w:styleId="23" w:customStyle="1">
    <w:name w:val="Основной текст (2)"/>
    <w:basedOn w:val="Normal"/>
    <w:link w:val="21"/>
    <w:qFormat/>
    <w:pPr>
      <w:spacing w:lineRule="auto" w:line="268"/>
    </w:pPr>
    <w:rPr>
      <w:rFonts w:ascii="Times New Roman" w:hAnsi="Times New Roman" w:eastAsia="Times New Roman" w:cs="Times New Roman"/>
      <w:color w:val="141414"/>
      <w:sz w:val="22"/>
      <w:szCs w:val="22"/>
    </w:rPr>
  </w:style>
  <w:style w:type="paragraph" w:styleId="51" w:customStyle="1">
    <w:name w:val="Основной текст (5)"/>
    <w:basedOn w:val="Normal"/>
    <w:link w:val="5"/>
    <w:qFormat/>
    <w:pPr>
      <w:spacing w:lineRule="auto" w:line="180" w:before="0" w:after="160"/>
    </w:pPr>
    <w:rPr>
      <w:smallCaps/>
      <w:color w:val="676766"/>
      <w:sz w:val="20"/>
      <w:szCs w:val="20"/>
    </w:rPr>
  </w:style>
  <w:style w:type="paragraph" w:styleId="Style28" w:customStyle="1">
    <w:name w:val="Подпись к картинке"/>
    <w:basedOn w:val="Normal"/>
    <w:link w:val="Style16"/>
    <w:qFormat/>
    <w:pPr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31" w:customStyle="1">
    <w:name w:val="Основной текст (3)"/>
    <w:basedOn w:val="Normal"/>
    <w:link w:val="3"/>
    <w:qFormat/>
    <w:pPr>
      <w:spacing w:lineRule="auto" w:line="333"/>
      <w:ind w:left="3160" w:hanging="0"/>
    </w:pPr>
    <w:rPr>
      <w:rFonts w:ascii="Arial" w:hAnsi="Arial" w:eastAsia="Arial" w:cs="Arial"/>
      <w:b/>
      <w:bCs/>
      <w:color w:val="1E1E22"/>
      <w:sz w:val="12"/>
      <w:szCs w:val="12"/>
    </w:rPr>
  </w:style>
  <w:style w:type="paragraph" w:styleId="61" w:customStyle="1">
    <w:name w:val="Основной текст (6)"/>
    <w:basedOn w:val="Normal"/>
    <w:link w:val="6"/>
    <w:qFormat/>
    <w:pPr>
      <w:ind w:left="8140" w:hanging="0"/>
    </w:pPr>
    <w:rPr>
      <w:rFonts w:ascii="Arial" w:hAnsi="Arial" w:eastAsia="Arial" w:cs="Arial"/>
      <w:color w:val="437FB7"/>
      <w:sz w:val="9"/>
      <w:szCs w:val="9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Style29"/>
    <w:pPr/>
    <w:rPr/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strovo1ga.ru/contacts/" TargetMode="External"/><Relationship Id="rId3" Type="http://schemas.openxmlformats.org/officeDocument/2006/relationships/hyperlink" Target="https://www.psbins.ru/about/contacts/" TargetMode="External"/><Relationship Id="rId4" Type="http://schemas.openxmlformats.org/officeDocument/2006/relationships/hyperlink" Target="https://www.amt-insurance.com/contacts/" TargetMode="External"/><Relationship Id="rId5" Type="http://schemas.openxmlformats.org/officeDocument/2006/relationships/hyperlink" Target="https://guidehins.ru/contaets/" TargetMode="External"/><Relationship Id="rId6" Type="http://schemas.openxmlformats.org/officeDocument/2006/relationships/hyperlink" Target="https://kpsk-ins.ru/kontaktv" TargetMode="External"/><Relationship Id="rId7" Type="http://schemas.openxmlformats.org/officeDocument/2006/relationships/hyperlink" Target="https://solidsk.ru/kontaktv" TargetMode="External"/><Relationship Id="rId8" Type="http://schemas.openxmlformats.org/officeDocument/2006/relationships/hyperlink" Target="https://www.sogaz.ru/contacts/" TargetMode="External"/><Relationship Id="rId9" Type="http://schemas.openxmlformats.org/officeDocument/2006/relationships/hyperlink" Target="https://life.zettains.ru/2022/contacts/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sbcrbankins.ru/about/contacts/" TargetMode="External"/><Relationship Id="rId12" Type="http://schemas.openxmlformats.org/officeDocument/2006/relationships/hyperlink" Target="" TargetMode="External"/><Relationship Id="rId13" Type="http://schemas.openxmlformats.org/officeDocument/2006/relationships/header" Target="header1.xml"/><Relationship Id="rId14" Type="http://schemas.openxmlformats.org/officeDocument/2006/relationships/footnotes" Target="footnotes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LibreOffice/7.5.6.2$Linux_X86_64 LibreOffice_project/50$Build-2</Application>
  <AppVersion>15.0000</AppVersion>
  <Pages>5</Pages>
  <Words>1517</Words>
  <Characters>8649</Characters>
  <CharactersWithSpaces>10146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2024-09-17T07:41:00Z</dcterms:created>
  <dc:creator/>
  <dc:description/>
  <dc:language>ru-RU</dc:language>
  <cp:lastModifiedBy/>
  <dcterms:modified xsi:type="dcterms:W3CDTF">2024-11-15T12:51:04Z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